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様式第３号（第４条関係）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化製場等変更届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化製場等の変更をしたいので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化製場等に関する法律第３条第２項の規定により次のとおり届け出ます。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化製場等の所在地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化製場等の名称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化製場等の区別　　　化製場　　死亡獣畜取扱場　　法第８条に規定する施設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許可年月日及び許可番号</w:t>
      </w:r>
    </w:p>
    <w:p>
      <w:pPr>
        <w:pStyle w:val="0"/>
        <w:wordWrap w:val="0"/>
        <w:ind w:firstLine="453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許可年月日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許可番号　　　　　　　第　　　　　号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５　変更事項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６　変更の理由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７　添付書類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変更後の構造設備又は埋却の区域の状況を明らかにした図面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55</Words>
  <Characters>317</Characters>
  <Application>JUST Note</Application>
  <Lines>2</Lines>
  <Paragraphs>1</Paragraphs>
  <Company>水戸市</Company>
  <CharactersWithSpaces>371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2026-04-01T06:50:51Z</cp:lastPrinted>
  <dcterms:created xsi:type="dcterms:W3CDTF">2020-05-01T02:30:00Z</dcterms:created>
  <dcterms:modified xsi:type="dcterms:W3CDTF">2020-05-01T02:38:16Z</dcterms:modified>
  <cp:revision>3</cp:revision>
</cp:coreProperties>
</file>