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rPr>
      </w:pPr>
      <w:bookmarkStart w:id="0" w:name="_GoBack"/>
      <w:bookmarkEnd w:id="0"/>
      <w:r>
        <w:rPr>
          <w:rFonts w:hint="eastAsia"/>
          <w:sz w:val="28"/>
        </w:rPr>
        <w:t>構造設備の概要（店舗用）</w:t>
      </w:r>
    </w:p>
    <w:p>
      <w:pPr>
        <w:pStyle w:val="0"/>
        <w:ind w:left="3969"/>
        <w:rPr>
          <w:rFonts w:hint="default"/>
          <w:sz w:val="21"/>
        </w:rPr>
      </w:pPr>
      <w:r>
        <w:rPr>
          <w:rFonts w:hint="eastAsia"/>
          <w:sz w:val="21"/>
        </w:rPr>
        <w:t>店舗の所在地　　　　　　　</w:t>
      </w:r>
      <w:r>
        <w:rPr>
          <w:rFonts w:hint="eastAsia"/>
          <w:sz w:val="21"/>
          <w:u w:val="single" w:color="auto"/>
        </w:rPr>
        <w:t>　　　　　　　　　　　　　　　　　　　</w:t>
      </w:r>
    </w:p>
    <w:p>
      <w:pPr>
        <w:pStyle w:val="0"/>
        <w:ind w:left="3969"/>
        <w:rPr>
          <w:rFonts w:hint="default"/>
          <w:sz w:val="21"/>
          <w:u w:val="single" w:color="auto"/>
        </w:rPr>
      </w:pPr>
      <w:r>
        <w:rPr>
          <w:rFonts w:hint="eastAsia"/>
          <w:sz w:val="21"/>
        </w:rPr>
        <w:t>店舗の名称　　　　　　　　</w:t>
      </w:r>
      <w:r>
        <w:rPr>
          <w:rFonts w:hint="eastAsia"/>
          <w:sz w:val="21"/>
          <w:u w:val="single" w:color="auto"/>
        </w:rPr>
        <w:t>　　　　　　　　　　　　　　　　　　　</w:t>
      </w:r>
    </w:p>
    <w:p>
      <w:pPr>
        <w:pStyle w:val="0"/>
        <w:ind w:left="141" w:leftChars="88"/>
        <w:rPr>
          <w:rFonts w:hint="default"/>
          <w:sz w:val="24"/>
        </w:rPr>
      </w:pPr>
      <w:r>
        <w:rPr>
          <w:rFonts w:hint="eastAsia"/>
          <w:sz w:val="24"/>
        </w:rPr>
        <w:t>【建物の構造等】</w:t>
      </w:r>
    </w:p>
    <w:tbl>
      <w:tblPr>
        <w:tblStyle w:val="55"/>
        <w:tblW w:w="10300" w:type="dxa"/>
        <w:tblInd w:w="26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83"/>
        <w:gridCol w:w="1563"/>
        <w:gridCol w:w="1414"/>
        <w:gridCol w:w="2126"/>
        <w:gridCol w:w="2835"/>
        <w:gridCol w:w="1276"/>
        <w:gridCol w:w="803"/>
      </w:tblGrid>
      <w:tr>
        <w:trPr>
          <w:trHeight w:val="238" w:hRule="atLeast"/>
        </w:trPr>
        <w:tc>
          <w:tcPr>
            <w:tcW w:w="10300" w:type="dxa"/>
            <w:gridSpan w:val="7"/>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napToGrid w:val="0"/>
              <w:rPr>
                <w:rFonts w:hint="default"/>
                <w:sz w:val="18"/>
              </w:rPr>
            </w:pPr>
            <w:r>
              <w:rPr>
                <w:rFonts w:hint="eastAsia"/>
                <w:sz w:val="21"/>
              </w:rPr>
              <w:t>建物</w:t>
            </w:r>
          </w:p>
        </w:tc>
      </w:tr>
      <w:tr>
        <w:trPr/>
        <w:tc>
          <w:tcPr>
            <w:tcW w:w="184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trike w:val="1"/>
                <w:sz w:val="21"/>
              </w:rPr>
            </w:pPr>
            <w:r>
              <w:rPr>
                <w:rFonts w:hint="eastAsia"/>
                <w:sz w:val="21"/>
              </w:rPr>
              <w:t>面積（内法）</w:t>
            </w:r>
          </w:p>
        </w:tc>
        <w:tc>
          <w:tcPr>
            <w:tcW w:w="354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trike w:val="1"/>
                <w:sz w:val="21"/>
              </w:rPr>
            </w:pPr>
            <w:r>
              <w:rPr>
                <w:rFonts w:hint="eastAsia"/>
                <w:sz w:val="21"/>
              </w:rPr>
              <w:t>［</w:t>
            </w:r>
            <w:r>
              <w:rPr>
                <w:rFonts w:hint="default"/>
                <w:sz w:val="21"/>
              </w:rPr>
              <w:t xml:space="preserve">    </w:t>
            </w:r>
            <w:r>
              <w:rPr>
                <w:rFonts w:hint="eastAsia"/>
                <w:sz w:val="21"/>
              </w:rPr>
              <w:t>　　］</w:t>
            </w:r>
            <w:r>
              <w:rPr>
                <w:rFonts w:hint="default"/>
                <w:sz w:val="21"/>
              </w:rPr>
              <w:t>m</w:t>
            </w:r>
            <w:r>
              <w:rPr>
                <w:rFonts w:hint="default"/>
                <w:sz w:val="21"/>
                <w:vertAlign w:val="superscript"/>
              </w:rPr>
              <w:t>2</w:t>
            </w:r>
          </w:p>
        </w:tc>
        <w:tc>
          <w:tcPr>
            <w:tcW w:w="491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p>
        </w:tc>
      </w:tr>
      <w:tr>
        <w:trPr/>
        <w:tc>
          <w:tcPr>
            <w:tcW w:w="10300"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snapToGrid w:val="0"/>
              <w:rPr>
                <w:rFonts w:hint="default"/>
                <w:sz w:val="21"/>
              </w:rPr>
            </w:pPr>
            <w:r>
              <w:rPr>
                <w:rFonts w:hint="eastAsia"/>
                <w:sz w:val="21"/>
              </w:rPr>
              <w:t>設備等</w:t>
            </w:r>
          </w:p>
        </w:tc>
      </w:tr>
      <w:tr>
        <w:trPr/>
        <w:tc>
          <w:tcPr>
            <w:tcW w:w="9497" w:type="dxa"/>
            <w:gridSpan w:val="6"/>
            <w:tcBorders>
              <w:top w:val="single"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以下の設備等の有無　</w:t>
            </w:r>
            <w:r>
              <w:rPr>
                <w:rFonts w:hint="eastAsia"/>
              </w:rPr>
              <w:t>（該当する項目について、右列の□にレ点を付ける等して分かるよう記載すること。）</w:t>
            </w:r>
          </w:p>
        </w:tc>
        <w:tc>
          <w:tcPr>
            <w:tcW w:w="803"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sz w:val="21"/>
              </w:rPr>
            </w:pPr>
          </w:p>
        </w:tc>
      </w:tr>
      <w:tr>
        <w:trPr/>
        <w:tc>
          <w:tcPr>
            <w:tcW w:w="283"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2"/>
              </w:rPr>
            </w:pPr>
          </w:p>
        </w:tc>
        <w:tc>
          <w:tcPr>
            <w:tcW w:w="9214" w:type="dxa"/>
            <w:gridSpan w:val="5"/>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医薬品を購入等しようとする者が容易に出入りできる構造であり、店舗であることがその外観から明らかである</w:t>
            </w:r>
          </w:p>
        </w:tc>
        <w:tc>
          <w:tcPr>
            <w:tcW w:w="803"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63138666"/>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21"/>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換気のための設備を有する</w:t>
            </w:r>
            <w:r>
              <w:rPr>
                <w:rFonts w:hint="eastAsia"/>
                <w:sz w:val="21"/>
                <w:vertAlign w:val="superscript"/>
              </w:rPr>
              <w:t>※１</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732834033"/>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他の店舗販売業の店舗又は薬局の場所、常時居住する場所及び不潔な場所から明確に区別されている</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287422827"/>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貯蔵設備を設ける区域は、他の区域から明確に区別されている</w:t>
            </w:r>
            <w:r>
              <w:rPr>
                <w:rFonts w:hint="eastAsia"/>
                <w:sz w:val="21"/>
                <w:vertAlign w:val="superscript"/>
              </w:rPr>
              <w:t>※１</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311447997"/>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医薬品を通常陳列し、又は交付する場所は</w:t>
            </w:r>
            <w:r>
              <w:rPr>
                <w:rFonts w:hint="eastAsia"/>
                <w:sz w:val="21"/>
              </w:rPr>
              <w:t>60</w:t>
            </w:r>
            <w:r>
              <w:rPr>
                <w:rFonts w:hint="default"/>
                <w:sz w:val="21"/>
              </w:rPr>
              <w:t xml:space="preserve"> lux</w:t>
            </w:r>
            <w:r>
              <w:rPr>
                <w:rFonts w:hint="eastAsia"/>
                <w:sz w:val="21"/>
              </w:rPr>
              <w:t>以上の明るさを有する</w:t>
            </w:r>
          </w:p>
        </w:tc>
        <w:tc>
          <w:tcPr>
            <w:tcW w:w="803" w:type="dxa"/>
            <w:tcBorders>
              <w:top w:val="dotted" w:color="auto" w:sz="4" w:space="0"/>
              <w:left w:val="dotted" w:color="auto" w:sz="4" w:space="0"/>
              <w:bottom w:val="single" w:color="auto" w:sz="4" w:space="0"/>
              <w:right w:val="single" w:color="auto" w:sz="12" w:space="0"/>
              <w:tl2br w:val="none" w:color="auto" w:sz="0" w:space="0"/>
              <w:tr2bl w:val="none" w:color="auto" w:sz="0" w:space="0"/>
            </w:tcBorders>
            <w:vAlign w:val="center"/>
          </w:tcPr>
          <w:sdt>
            <w:sdtPr>
              <w:rPr>
                <w:rFonts w:hint="eastAsia"/>
                <w:sz w:val="21"/>
              </w:rPr>
              <w:id w:val="-859046296"/>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3260" w:type="dxa"/>
            <w:gridSpan w:val="3"/>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冷暗貯蔵が必要な医薬品の取扱</w:t>
            </w:r>
          </w:p>
        </w:tc>
        <w:tc>
          <w:tcPr>
            <w:tcW w:w="2126"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59435664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sdt>
              <w:sdtPr>
                <w:rPr>
                  <w:rFonts w:hint="eastAsia"/>
                  <w:sz w:val="21"/>
                </w:rPr>
                <w:id w:val="-113494122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c>
          <w:tcPr>
            <w:tcW w:w="2835"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冷暗貯蔵のための設備</w:t>
            </w:r>
            <w:r>
              <w:rPr>
                <w:rFonts w:hint="eastAsia"/>
                <w:sz w:val="21"/>
                <w:vertAlign w:val="superscript"/>
              </w:rPr>
              <w:t>※１</w:t>
            </w:r>
          </w:p>
        </w:tc>
        <w:tc>
          <w:tcPr>
            <w:tcW w:w="2079" w:type="dxa"/>
            <w:gridSpan w:val="2"/>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85619316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sdt>
              <w:sdtPr>
                <w:rPr>
                  <w:rFonts w:hint="eastAsia"/>
                  <w:sz w:val="21"/>
                </w:rPr>
                <w:id w:val="-199725246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r>
      <w:tr>
        <w:trPr/>
        <w:tc>
          <w:tcPr>
            <w:tcW w:w="3260" w:type="dxa"/>
            <w:gridSpan w:val="3"/>
            <w:tcBorders>
              <w:top w:val="single" w:color="auto" w:sz="8" w:space="0"/>
              <w:left w:val="none" w:color="auto" w:sz="0" w:space="0"/>
              <w:bottom w:val="single" w:color="auto" w:sz="18"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毒薬の取扱</w:t>
            </w:r>
          </w:p>
        </w:tc>
        <w:tc>
          <w:tcPr>
            <w:tcW w:w="2126" w:type="dxa"/>
            <w:tcBorders>
              <w:top w:val="single" w:color="auto" w:sz="8"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90424951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sdt>
              <w:sdtPr>
                <w:rPr>
                  <w:rFonts w:hint="eastAsia"/>
                  <w:sz w:val="21"/>
                </w:rPr>
                <w:id w:val="70438308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c>
          <w:tcPr>
            <w:tcW w:w="2835" w:type="dxa"/>
            <w:tcBorders>
              <w:top w:val="single" w:color="auto" w:sz="8" w:space="0"/>
              <w:left w:val="none" w:color="auto" w:sz="0" w:space="0"/>
              <w:bottom w:val="single" w:color="auto" w:sz="18"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鍵のかかる貯蔵設備</w:t>
            </w:r>
          </w:p>
        </w:tc>
        <w:tc>
          <w:tcPr>
            <w:tcW w:w="2079" w:type="dxa"/>
            <w:gridSpan w:val="2"/>
            <w:tcBorders>
              <w:top w:val="single" w:color="auto" w:sz="8"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3889534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sdt>
              <w:sdtPr>
                <w:rPr>
                  <w:rFonts w:hint="eastAsia"/>
                  <w:sz w:val="21"/>
                </w:rPr>
                <w:id w:val="166812817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r>
    </w:tbl>
    <w:p>
      <w:pPr>
        <w:pStyle w:val="0"/>
        <w:snapToGrid w:val="0"/>
        <w:ind w:left="141" w:leftChars="88" w:firstLine="180" w:firstLineChars="100"/>
        <w:rPr>
          <w:rFonts w:hint="default"/>
          <w:sz w:val="24"/>
        </w:rPr>
      </w:pPr>
      <w:r>
        <w:rPr>
          <w:rFonts w:hint="eastAsia"/>
          <w:sz w:val="18"/>
        </w:rPr>
        <w:t>※１　設備及び区域の詳細を図面に明示すること。</w:t>
      </w:r>
    </w:p>
    <w:p>
      <w:pPr>
        <w:pStyle w:val="0"/>
        <w:rPr>
          <w:rFonts w:hint="default" w:ascii="ＭＳ 明朝" w:hAnsi="ＭＳ 明朝"/>
          <w:sz w:val="24"/>
        </w:rPr>
      </w:pPr>
    </w:p>
    <w:p>
      <w:pPr>
        <w:pStyle w:val="0"/>
        <w:ind w:left="141" w:leftChars="88" w:firstLine="1"/>
        <w:rPr>
          <w:rFonts w:hint="default" w:ascii="ＭＳ 明朝" w:hAnsi="ＭＳ 明朝"/>
          <w:sz w:val="24"/>
        </w:rPr>
      </w:pPr>
      <w:r>
        <w:rPr>
          <w:rFonts w:hint="eastAsia" w:ascii="ＭＳ 明朝" w:hAnsi="ＭＳ 明朝"/>
          <w:sz w:val="24"/>
        </w:rPr>
        <w:t>【陳列設備等】</w:t>
      </w:r>
    </w:p>
    <w:tbl>
      <w:tblPr>
        <w:tblStyle w:val="11"/>
        <w:tblW w:w="10333" w:type="dxa"/>
        <w:jc w:val="center"/>
        <w:tblInd w:w="0" w:type="dxa"/>
        <w:tblLayout w:type="fixed"/>
        <w:tblLook w:firstRow="1" w:lastRow="1" w:firstColumn="1" w:lastColumn="1" w:noHBand="0" w:noVBand="0" w:val="01E0"/>
      </w:tblPr>
      <w:tblGrid>
        <w:gridCol w:w="2395"/>
        <w:gridCol w:w="1701"/>
        <w:gridCol w:w="1276"/>
        <w:gridCol w:w="4961"/>
      </w:tblGrid>
      <w:tr>
        <w:trPr>
          <w:trHeight w:val="388" w:hRule="atLeast"/>
        </w:trPr>
        <w:tc>
          <w:tcPr>
            <w:tcW w:w="2395"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情報提供するための</w:t>
            </w:r>
          </w:p>
          <w:p>
            <w:pPr>
              <w:pStyle w:val="0"/>
              <w:rPr>
                <w:rFonts w:hint="default"/>
                <w:sz w:val="21"/>
                <w:u w:val="single" w:color="auto"/>
              </w:rPr>
            </w:pPr>
            <w:r>
              <w:rPr>
                <w:rFonts w:hint="eastAsia"/>
                <w:sz w:val="21"/>
              </w:rPr>
              <w:t>設備</w:t>
            </w:r>
          </w:p>
        </w:tc>
        <w:tc>
          <w:tcPr>
            <w:tcW w:w="1701" w:type="dxa"/>
            <w:vMerge w:val="restart"/>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　　］カ所</w:t>
            </w:r>
          </w:p>
        </w:tc>
        <w:tc>
          <w:tcPr>
            <w:tcW w:w="623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rPr>
            </w:pPr>
            <w:r>
              <w:rPr>
                <w:rFonts w:hint="eastAsia"/>
                <w:sz w:val="18"/>
              </w:rPr>
              <w:t>２以上の階に医薬品を陳列・交付する場所がある場合、以下に内訳を記載</w:t>
            </w:r>
          </w:p>
        </w:tc>
      </w:tr>
      <w:tr>
        <w:trPr>
          <w:trHeight w:val="387" w:hRule="atLeast"/>
        </w:trPr>
        <w:tc>
          <w:tcPr>
            <w:tcW w:w="239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p>
        </w:tc>
        <w:tc>
          <w:tcPr>
            <w:tcW w:w="170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1"/>
              </w:rPr>
            </w:pPr>
          </w:p>
        </w:tc>
        <w:tc>
          <w:tcPr>
            <w:tcW w:w="6237"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内訳：　</w:t>
            </w:r>
            <w:r>
              <w:rPr>
                <w:rFonts w:hint="eastAsia"/>
                <w:sz w:val="18"/>
                <w:u w:val="single" w:color="auto"/>
              </w:rPr>
              <w:t>　　　　階</w:t>
            </w:r>
            <w:r>
              <w:rPr>
                <w:rFonts w:hint="eastAsia"/>
                <w:sz w:val="18"/>
              </w:rPr>
              <w:t>　</w:t>
            </w:r>
            <w:r>
              <w:rPr>
                <w:rFonts w:hint="eastAsia"/>
                <w:sz w:val="18"/>
                <w:u w:val="single" w:color="auto"/>
              </w:rPr>
              <w:t>　　　　</w:t>
            </w:r>
            <w:r>
              <w:rPr>
                <w:rFonts w:hint="eastAsia"/>
                <w:sz w:val="18"/>
              </w:rPr>
              <w:t>カ所、</w:t>
            </w:r>
            <w:r>
              <w:rPr>
                <w:rFonts w:hint="eastAsia"/>
                <w:sz w:val="18"/>
                <w:u w:val="single" w:color="auto"/>
              </w:rPr>
              <w:t>　　　　階</w:t>
            </w:r>
            <w:r>
              <w:rPr>
                <w:rFonts w:hint="eastAsia"/>
                <w:sz w:val="18"/>
              </w:rPr>
              <w:t>　</w:t>
            </w:r>
            <w:r>
              <w:rPr>
                <w:rFonts w:hint="eastAsia"/>
                <w:sz w:val="18"/>
                <w:u w:val="single" w:color="auto"/>
              </w:rPr>
              <w:t>　　　　</w:t>
            </w:r>
            <w:r>
              <w:rPr>
                <w:rFonts w:hint="eastAsia"/>
                <w:sz w:val="18"/>
              </w:rPr>
              <w:t>カ所</w:t>
            </w:r>
          </w:p>
        </w:tc>
      </w:tr>
      <w:tr>
        <w:trPr>
          <w:trHeight w:val="1550"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u w:val="single" w:color="auto"/>
              </w:rPr>
            </w:pPr>
            <w:r>
              <w:rPr>
                <w:rFonts w:hint="eastAsia"/>
                <w:sz w:val="21"/>
              </w:rPr>
              <w:t>要指導医薬品の取扱いの有無及び陳列設備</w:t>
            </w:r>
          </w:p>
        </w:tc>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6164348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14542694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237"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eastAsia"/>
                  <w:sz w:val="21"/>
                </w:rPr>
                <w:id w:val="-1878926708"/>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進入防止措置（要指導医薬品陳列設備から１．２ｍ以内）</w:t>
            </w:r>
          </w:p>
          <w:p>
            <w:pPr>
              <w:pStyle w:val="0"/>
              <w:rPr>
                <w:rFonts w:hint="default"/>
                <w:sz w:val="18"/>
              </w:rPr>
            </w:pPr>
            <w:sdt>
              <w:sdtPr>
                <w:rPr>
                  <w:rFonts w:hint="eastAsia"/>
                  <w:sz w:val="21"/>
                </w:rPr>
                <w:id w:val="-1917546168"/>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鍵をかけた陳列設備</w:t>
            </w:r>
          </w:p>
          <w:p>
            <w:pPr>
              <w:pStyle w:val="0"/>
              <w:rPr>
                <w:rFonts w:hint="default"/>
                <w:sz w:val="18"/>
              </w:rPr>
            </w:pPr>
            <w:sdt>
              <w:sdtPr>
                <w:rPr>
                  <w:rFonts w:hint="eastAsia"/>
                  <w:sz w:val="21"/>
                </w:rPr>
                <w:id w:val="421079212"/>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直接手の触れられない陳列設備</w:t>
            </w:r>
          </w:p>
          <w:p>
            <w:pPr>
              <w:pStyle w:val="0"/>
              <w:rPr>
                <w:rFonts w:hint="default"/>
                <w:sz w:val="18"/>
              </w:rPr>
            </w:pPr>
            <w:sdt>
              <w:sdtPr>
                <w:rPr>
                  <w:rFonts w:hint="eastAsia"/>
                  <w:sz w:val="21"/>
                </w:rPr>
                <w:id w:val="-529570712"/>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default"/>
                <w:sz w:val="18"/>
              </w:rPr>
              <mc:AlternateContent>
                <mc:Choice Requires="wps">
                  <w:drawing>
                    <wp:anchor distT="0" distB="0" distL="114300" distR="114300" simplePos="0" relativeHeight="5"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6" name="AutoShape 107"/>
                      <a:graphic xmlns:a="http://schemas.openxmlformats.org/drawingml/2006/main">
                        <a:graphicData uri="http://schemas.microsoft.com/office/word/2010/wordprocessingShape">
                          <wps:wsp>
                            <wps:cNvPr id="1026"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5;mso-wrap-distance-left:9pt;width:291.45pt;height:13.9pt;mso-position-horizontal-relative:text;position:absolute;margin-left:7.75pt;margin-top:16.39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18"/>
              </w:rPr>
              <w:t>　陳列せずに貯蔵のみ（貯蔵場所を具体的に記入）</w:t>
            </w:r>
          </w:p>
          <w:p>
            <w:pPr>
              <w:pStyle w:val="0"/>
              <w:rPr>
                <w:rFonts w:hint="default"/>
                <w:sz w:val="21"/>
                <w:u w:val="single" w:color="auto"/>
              </w:rPr>
            </w:pPr>
          </w:p>
        </w:tc>
      </w:tr>
      <w:tr>
        <w:trPr>
          <w:trHeight w:val="1550"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u w:val="single" w:color="auto"/>
              </w:rPr>
            </w:pPr>
            <w:r>
              <w:rPr>
                <w:rFonts w:hint="eastAsia"/>
                <w:sz w:val="21"/>
              </w:rPr>
              <w:t>第一類医薬品の取扱いの有無及び陳列設備</w:t>
            </w:r>
          </w:p>
        </w:tc>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0" w:leftChars="-13" w:hanging="21" w:hangingChars="10"/>
              <w:jc w:val="center"/>
              <w:rPr>
                <w:rFonts w:hint="default"/>
                <w:sz w:val="21"/>
              </w:rPr>
            </w:pPr>
            <w:sdt>
              <w:sdtPr>
                <w:rPr>
                  <w:rFonts w:hint="eastAsia"/>
                  <w:sz w:val="21"/>
                </w:rPr>
                <w:id w:val="-127701759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27252385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237"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eastAsia"/>
                  <w:sz w:val="21"/>
                </w:rPr>
                <w:id w:val="-1543902196"/>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進入防止措置（第一類医薬品陳列設備から１．２ｍ以内）</w:t>
            </w:r>
          </w:p>
          <w:p>
            <w:pPr>
              <w:pStyle w:val="0"/>
              <w:rPr>
                <w:rFonts w:hint="default"/>
                <w:sz w:val="18"/>
              </w:rPr>
            </w:pPr>
            <w:sdt>
              <w:sdtPr>
                <w:rPr>
                  <w:rFonts w:hint="eastAsia"/>
                  <w:sz w:val="21"/>
                </w:rPr>
                <w:id w:val="61599726"/>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鍵をかけた陳列設備</w:t>
            </w:r>
          </w:p>
          <w:p>
            <w:pPr>
              <w:pStyle w:val="0"/>
              <w:rPr>
                <w:rFonts w:hint="default"/>
                <w:sz w:val="18"/>
              </w:rPr>
            </w:pPr>
            <w:sdt>
              <w:sdtPr>
                <w:rPr>
                  <w:rFonts w:hint="eastAsia"/>
                  <w:sz w:val="21"/>
                </w:rPr>
                <w:id w:val="621263997"/>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直接手の触れられない陳列設備</w:t>
            </w:r>
          </w:p>
          <w:p>
            <w:pPr>
              <w:pStyle w:val="0"/>
              <w:rPr>
                <w:rFonts w:hint="default"/>
                <w:sz w:val="18"/>
              </w:rPr>
            </w:pPr>
            <w:sdt>
              <w:sdtPr>
                <w:rPr>
                  <w:rFonts w:hint="eastAsia"/>
                  <w:sz w:val="21"/>
                </w:rPr>
                <w:id w:val="141366335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default"/>
                <w:sz w:val="18"/>
              </w:rPr>
              <mc:AlternateContent>
                <mc:Choice Requires="wps">
                  <w:drawing>
                    <wp:anchor distT="0" distB="0" distL="114300" distR="114300" simplePos="0" relativeHeight="6"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7" name="AutoShape 107"/>
                      <a:graphic xmlns:a="http://schemas.openxmlformats.org/drawingml/2006/main">
                        <a:graphicData uri="http://schemas.microsoft.com/office/word/2010/wordprocessingShape">
                          <wps:wsp>
                            <wps:cNvPr id="1027"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6;mso-wrap-distance-left:9pt;width:291.45pt;height:13.9pt;mso-position-horizontal-relative:text;position:absolute;margin-left:7.75pt;margin-top:16.39pt;mso-wrap-distance-bottom:0pt;mso-wrap-distance-right:9pt;mso-wrap-distance-top:0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18"/>
              </w:rPr>
              <w:t>　陳列せずに貯蔵のみ（貯蔵場所を具体的に記入）</w:t>
            </w:r>
          </w:p>
          <w:p>
            <w:pPr>
              <w:pStyle w:val="0"/>
              <w:rPr>
                <w:rFonts w:hint="default"/>
                <w:sz w:val="21"/>
                <w:u w:val="single" w:color="auto"/>
              </w:rPr>
            </w:pPr>
          </w:p>
        </w:tc>
      </w:tr>
      <w:tr>
        <w:trPr>
          <w:trHeight w:val="1260" w:hRule="atLeast"/>
        </w:trPr>
        <w:tc>
          <w:tcPr>
            <w:tcW w:w="23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50"/>
              <w:rPr>
                <w:rFonts w:hint="default"/>
                <w:sz w:val="21"/>
              </w:rPr>
            </w:pPr>
            <w:r>
              <w:rPr>
                <w:rFonts w:hint="eastAsia"/>
                <w:sz w:val="21"/>
              </w:rPr>
              <w:t>指定第二類医薬品の取扱いの有無及び陳列設備</w:t>
            </w:r>
          </w:p>
        </w:tc>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152624507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35931887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237"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eastAsia"/>
                  <w:sz w:val="21"/>
                </w:rPr>
                <w:id w:val="-476371519"/>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情報提供設備から７ｍ以内</w:t>
            </w:r>
          </w:p>
          <w:p>
            <w:pPr>
              <w:pStyle w:val="0"/>
              <w:rPr>
                <w:rFonts w:hint="default"/>
                <w:sz w:val="18"/>
                <w:u w:val="single" w:color="auto"/>
              </w:rPr>
            </w:pPr>
            <w:sdt>
              <w:sdtPr>
                <w:rPr>
                  <w:rFonts w:hint="eastAsia"/>
                  <w:sz w:val="21"/>
                </w:rPr>
                <w:id w:val="346139939"/>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進入防止措置（指定第二類医薬品陳列設備から１．２ｍ以内）</w:t>
            </w:r>
          </w:p>
          <w:p>
            <w:pPr>
              <w:pStyle w:val="0"/>
              <w:rPr>
                <w:rFonts w:hint="default"/>
                <w:sz w:val="21"/>
              </w:rPr>
            </w:pPr>
            <w:sdt>
              <w:sdtPr>
                <w:rPr>
                  <w:rFonts w:hint="eastAsia"/>
                  <w:sz w:val="21"/>
                </w:rPr>
                <w:id w:val="1817145474"/>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鍵をかけた陳列設備</w:t>
            </w:r>
          </w:p>
        </w:tc>
      </w:tr>
      <w:tr>
        <w:trPr>
          <w:trHeight w:val="1260" w:hRule="atLeast"/>
        </w:trPr>
        <w:tc>
          <w:tcPr>
            <w:tcW w:w="239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50"/>
              <w:rPr>
                <w:rFonts w:hint="default"/>
                <w:sz w:val="21"/>
              </w:rPr>
            </w:pPr>
            <w:r>
              <w:rPr>
                <w:rFonts w:hint="eastAsia"/>
                <w:sz w:val="21"/>
              </w:rPr>
              <w:t>指定濫用防止医薬品の取扱いの有無及び第二類医薬品又は第三類医薬品である指定濫用防止医薬品の陳列設備</w:t>
            </w:r>
          </w:p>
        </w:tc>
        <w:tc>
          <w:tcPr>
            <w:tcW w:w="1701"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9289359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49918813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237"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420" w:hanging="420" w:hangingChars="200"/>
              <w:rPr>
                <w:rFonts w:hint="default"/>
                <w:sz w:val="18"/>
              </w:rPr>
            </w:pPr>
            <w:sdt>
              <w:sdtPr>
                <w:rPr>
                  <w:rFonts w:hint="default"/>
                  <w:sz w:val="21"/>
                </w:rPr>
                <w:id w:val="13707325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薬事に関する実務に従事する薬剤師又は登録販売者を継続的に</w:t>
            </w:r>
            <w:r>
              <w:rPr>
                <w:rFonts w:hint="default"/>
                <w:sz w:val="18"/>
              </w:rPr>
              <w:br w:type="textWrapping" w:clear="none"/>
            </w:r>
            <w:r>
              <w:rPr>
                <w:rFonts w:hint="eastAsia"/>
                <w:sz w:val="18"/>
              </w:rPr>
              <w:t>配置した情報提供設備から７ｍ以内</w:t>
            </w:r>
          </w:p>
          <w:p>
            <w:pPr>
              <w:pStyle w:val="0"/>
              <w:rPr>
                <w:rFonts w:hint="default"/>
                <w:sz w:val="18"/>
              </w:rPr>
            </w:pPr>
            <w:sdt>
              <w:sdtPr>
                <w:rPr>
                  <w:rFonts w:hint="default"/>
                  <w:sz w:val="21"/>
                </w:rPr>
                <w:id w:val="-131285889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進入防止措置（指定濫用防止医薬品陳列設備から１．２ｍ以内）</w:t>
            </w:r>
          </w:p>
          <w:p>
            <w:pPr>
              <w:pStyle w:val="0"/>
              <w:rPr>
                <w:rFonts w:hint="default"/>
                <w:sz w:val="18"/>
              </w:rPr>
            </w:pPr>
            <w:sdt>
              <w:sdtPr>
                <w:rPr>
                  <w:rFonts w:hint="default"/>
                  <w:sz w:val="21"/>
                </w:rPr>
                <w:id w:val="-140930789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　　　　　　</w:t>
            </w:r>
            <w:sdt>
              <w:sdtPr>
                <w:rPr>
                  <w:rFonts w:hint="default"/>
                  <w:sz w:val="21"/>
                </w:rPr>
                <w:id w:val="41698674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直接手の触れられない陳列設備</w:t>
            </w:r>
          </w:p>
          <w:p>
            <w:pPr>
              <w:pStyle w:val="0"/>
              <w:rPr>
                <w:rFonts w:hint="default"/>
                <w:sz w:val="18"/>
              </w:rPr>
            </w:pPr>
            <w:sdt>
              <w:sdtPr>
                <w:rPr>
                  <w:rFonts w:hint="eastAsia"/>
                  <w:sz w:val="21"/>
                </w:rPr>
                <w:id w:val="11903898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default"/>
                <w:sz w:val="18"/>
              </w:rPr>
              <mc:AlternateContent>
                <mc:Choice Requires="wps">
                  <w:drawing>
                    <wp:anchor distT="0" distB="0" distL="114300" distR="114300" simplePos="0" relativeHeight="10"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8" name="AutoShape 107"/>
                      <a:graphic xmlns:a="http://schemas.openxmlformats.org/drawingml/2006/main">
                        <a:graphicData uri="http://schemas.microsoft.com/office/word/2010/wordprocessingShape">
                          <wps:wsp>
                            <wps:cNvPr id="1028"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10;mso-wrap-distance-left:9pt;width:291.45pt;height:13.9pt;mso-position-horizontal-relative:text;position:absolute;margin-left:7.75pt;margin-top:16.39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18"/>
              </w:rPr>
              <w:t>　陳列せずに貯蔵のみ（貯蔵場所を具体的に記入）</w:t>
            </w:r>
          </w:p>
          <w:p>
            <w:pPr>
              <w:pStyle w:val="0"/>
              <w:rPr>
                <w:rFonts w:hint="default"/>
                <w:sz w:val="21"/>
              </w:rPr>
            </w:pPr>
          </w:p>
        </w:tc>
      </w:tr>
      <w:tr>
        <w:tblPrEx>
          <w:jc w:val="left"/>
        </w:tblPrEx>
        <w:trPr>
          <w:trHeight w:val="1250" w:hRule="atLeast"/>
        </w:trPr>
        <w:tc>
          <w:tcPr>
            <w:tcW w:w="409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要指導医薬品を販売しない時間帯の有無及び要指導医薬品陳列区画の閉鎖構造</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0" w:leftChars="-75" w:hanging="120" w:hangingChars="57"/>
              <w:jc w:val="center"/>
              <w:rPr>
                <w:rFonts w:hint="default"/>
                <w:sz w:val="21"/>
              </w:rPr>
            </w:pPr>
            <w:sdt>
              <w:sdtPr>
                <w:rPr>
                  <w:rFonts w:hint="eastAsia"/>
                  <w:sz w:val="21"/>
                </w:rPr>
                <w:id w:val="-176552286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07589594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4961"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bottom"/>
          </w:tcPr>
          <w:p>
            <w:pPr>
              <w:pStyle w:val="0"/>
              <w:ind w:left="-2" w:leftChars="-1" w:firstLine="5" w:firstLineChars="3"/>
              <w:rPr>
                <w:rFonts w:hint="default"/>
                <w:sz w:val="18"/>
              </w:rPr>
            </w:pPr>
            <w:r>
              <w:rPr>
                <w:rFonts w:hint="eastAsia"/>
                <w:sz w:val="18"/>
              </w:rPr>
              <w:t>　</w:t>
            </w:r>
            <w:sdt>
              <w:sdtPr>
                <w:rPr>
                  <w:rFonts w:hint="eastAsia"/>
                  <w:sz w:val="21"/>
                </w:rPr>
                <w:id w:val="80142782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eastAsia"/>
                  <w:sz w:val="21"/>
                </w:rPr>
                <w:id w:val="-1768843393"/>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パーティション　</w:t>
            </w:r>
            <w:sdt>
              <w:sdtPr>
                <w:rPr>
                  <w:rFonts w:hint="eastAsia"/>
                  <w:sz w:val="21"/>
                </w:rPr>
                <w:id w:val="1134285491"/>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チェーン</w:t>
            </w:r>
          </w:p>
          <w:p>
            <w:pPr>
              <w:pStyle w:val="0"/>
              <w:rPr>
                <w:rFonts w:hint="default"/>
                <w:sz w:val="21"/>
              </w:rPr>
            </w:pPr>
            <w:r>
              <w:rPr>
                <w:rFonts w:hint="eastAsia"/>
                <w:sz w:val="18"/>
              </w:rPr>
              <mc:AlternateContent>
                <mc:Choice Requires="wps">
                  <w:drawing>
                    <wp:anchor distT="0" distB="0" distL="114300" distR="114300" simplePos="0" relativeHeight="7" behindDoc="0" locked="0" layoutInCell="1" hidden="0" allowOverlap="1">
                      <wp:simplePos x="0" y="0"/>
                      <wp:positionH relativeFrom="column">
                        <wp:posOffset>30480</wp:posOffset>
                      </wp:positionH>
                      <wp:positionV relativeFrom="paragraph">
                        <wp:posOffset>226060</wp:posOffset>
                      </wp:positionV>
                      <wp:extent cx="2924175" cy="247015"/>
                      <wp:effectExtent l="635" t="635" r="29845" b="10795"/>
                      <wp:wrapNone/>
                      <wp:docPr id="1029" name="AutoShape 100"/>
                      <a:graphic xmlns:a="http://schemas.openxmlformats.org/drawingml/2006/main">
                        <a:graphicData uri="http://schemas.microsoft.com/office/word/2010/wordprocessingShape">
                          <wps:wsp>
                            <wps:cNvPr id="1029" name="AutoShape 100"/>
                            <wps:cNvSpPr>
                              <a:spLocks noChangeArrowheads="1"/>
                            </wps:cNvSpPr>
                            <wps:spPr>
                              <a:xfrm>
                                <a:off x="0" y="0"/>
                                <a:ext cx="2924175" cy="247015"/>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7;mso-wrap-distance-left:9pt;width:230.25pt;height:19.45pt;mso-position-horizontal-relative:text;position:absolute;margin-left:2.4pt;margin-top:17.8pt;mso-wrap-distance-bottom:0pt;mso-wrap-distance-right:9pt;mso-wrap-distance-top:0pt;" o:spid="_x0000_s1029"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r>
              <w:rPr>
                <w:rFonts w:hint="eastAsia"/>
                <w:sz w:val="18"/>
              </w:rPr>
              <w:t>　</w:t>
            </w:r>
            <w:sdt>
              <w:sdtPr>
                <w:rPr>
                  <w:rFonts w:hint="eastAsia"/>
                  <w:sz w:val="21"/>
                </w:rPr>
                <w:id w:val="-188825670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p>
        </w:tc>
      </w:tr>
      <w:tr>
        <w:tblPrEx>
          <w:jc w:val="left"/>
        </w:tblPrEx>
        <w:trPr>
          <w:trHeight w:val="1250" w:hRule="atLeast"/>
        </w:trPr>
        <w:tc>
          <w:tcPr>
            <w:tcW w:w="409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第一類医薬品を販売しない時間帯の有無及び第一類医薬品陳列区画の閉鎖構造</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 w:leftChars="-83" w:hanging="132" w:hangingChars="63"/>
              <w:jc w:val="center"/>
              <w:rPr>
                <w:rFonts w:hint="default"/>
                <w:sz w:val="21"/>
              </w:rPr>
            </w:pPr>
            <w:sdt>
              <w:sdtPr>
                <w:rPr>
                  <w:rFonts w:hint="eastAsia"/>
                  <w:sz w:val="21"/>
                </w:rPr>
                <w:id w:val="1432858746"/>
                <w14:checkbox>
                  <w14:checked/>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54065932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4961"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bottom"/>
          </w:tcPr>
          <w:p>
            <w:pPr>
              <w:pStyle w:val="0"/>
              <w:ind w:left="-2" w:leftChars="-1" w:firstLine="5" w:firstLineChars="3"/>
              <w:rPr>
                <w:rFonts w:hint="default"/>
                <w:sz w:val="18"/>
              </w:rPr>
            </w:pPr>
            <w:r>
              <w:rPr>
                <w:rFonts w:hint="eastAsia"/>
                <w:sz w:val="18"/>
              </w:rPr>
              <w:t>　</w:t>
            </w:r>
            <w:sdt>
              <w:sdtPr>
                <w:rPr>
                  <w:rFonts w:hint="eastAsia"/>
                  <w:sz w:val="21"/>
                </w:rPr>
                <w:id w:val="-739643538"/>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シャッター　</w:t>
            </w:r>
            <w:sdt>
              <w:sdtPr>
                <w:rPr>
                  <w:rFonts w:hint="eastAsia"/>
                  <w:sz w:val="21"/>
                </w:rPr>
                <w:id w:val="-879475192"/>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パーティション　</w:t>
            </w:r>
            <w:sdt>
              <w:sdtPr>
                <w:rPr>
                  <w:rFonts w:hint="eastAsia"/>
                  <w:sz w:val="21"/>
                </w:rPr>
                <w:id w:val="-380939873"/>
                <w14:checkbox>
                  <w14:checkedState w14:font="ＭＳ ゴシック" w14:val="2611"/>
                  <w14:uncheckedState w14:font="ＭＳ ゴシック" w14:val="2610"/>
                </w14:checkbox>
              </w:sdtPr>
              <w:sdtEndPr>
                <w:rPr>
                  <w:rFonts w:hint="default"/>
                </w:rPr>
              </w:sdtEndPr>
              <w:sdtContent>
                <w:r>
                  <w:rPr>
                    <w:rFonts w:hint="eastAsia"/>
                    <w:sz w:val="21"/>
                  </w:rPr>
                  <w:t>☐</w:t>
                </w:r>
              </w:sdtContent>
            </w:sdt>
            <w:r>
              <w:rPr>
                <w:rFonts w:hint="eastAsia"/>
                <w:sz w:val="18"/>
              </w:rPr>
              <w:t>　チェーン</w:t>
            </w:r>
          </w:p>
          <w:p>
            <w:pPr>
              <w:pStyle w:val="0"/>
              <w:rPr>
                <w:rFonts w:hint="default"/>
                <w:sz w:val="21"/>
              </w:rPr>
            </w:pPr>
            <w:r>
              <w:rPr>
                <w:rFonts w:hint="eastAsia"/>
                <w:sz w:val="18"/>
              </w:rPr>
              <mc:AlternateContent>
                <mc:Choice Requires="wps">
                  <w:drawing>
                    <wp:anchor distT="0" distB="0" distL="114300" distR="114300" simplePos="0" relativeHeight="8" behindDoc="0" locked="0" layoutInCell="1" hidden="0" allowOverlap="1">
                      <wp:simplePos x="0" y="0"/>
                      <wp:positionH relativeFrom="column">
                        <wp:posOffset>22225</wp:posOffset>
                      </wp:positionH>
                      <wp:positionV relativeFrom="paragraph">
                        <wp:posOffset>208280</wp:posOffset>
                      </wp:positionV>
                      <wp:extent cx="2943225" cy="247015"/>
                      <wp:effectExtent l="635" t="635" r="29845" b="10795"/>
                      <wp:wrapNone/>
                      <wp:docPr id="1030" name="AutoShape 100"/>
                      <a:graphic xmlns:a="http://schemas.openxmlformats.org/drawingml/2006/main">
                        <a:graphicData uri="http://schemas.microsoft.com/office/word/2010/wordprocessingShape">
                          <wps:wsp>
                            <wps:cNvPr id="1030" name="AutoShape 100"/>
                            <wps:cNvSpPr>
                              <a:spLocks noChangeArrowheads="1"/>
                            </wps:cNvSpPr>
                            <wps:spPr>
                              <a:xfrm>
                                <a:off x="0" y="0"/>
                                <a:ext cx="2943225" cy="247015"/>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8;mso-wrap-distance-left:9pt;width:231.75pt;height:19.45pt;mso-position-horizontal-relative:text;position:absolute;margin-left:1.75pt;margin-top:16.39pt;mso-wrap-distance-bottom:0pt;mso-wrap-distance-right:9pt;mso-wrap-distance-top:0pt;" o:spid="_x0000_s1030"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r>
              <w:rPr>
                <w:rFonts w:hint="eastAsia"/>
                <w:sz w:val="18"/>
              </w:rPr>
              <w:t>　</w:t>
            </w:r>
            <w:sdt>
              <w:sdtPr>
                <w:rPr>
                  <w:rFonts w:hint="eastAsia"/>
                  <w:sz w:val="21"/>
                </w:rPr>
                <w:id w:val="-33870602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p>
        </w:tc>
      </w:tr>
      <w:tr>
        <w:tblPrEx>
          <w:jc w:val="left"/>
        </w:tblPrEx>
        <w:trPr>
          <w:trHeight w:val="1250" w:hRule="atLeast"/>
        </w:trPr>
        <w:tc>
          <w:tcPr>
            <w:tcW w:w="4096"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指定濫用防止医薬品を販売しない時間帯の有無及び指定濫用防止医薬品陳列区画の閉鎖構造</w:t>
            </w:r>
          </w:p>
        </w:tc>
        <w:tc>
          <w:tcPr>
            <w:tcW w:w="1276"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 w:leftChars="-83" w:hanging="132" w:hangingChars="63"/>
              <w:jc w:val="center"/>
              <w:rPr>
                <w:rFonts w:hint="default"/>
                <w:sz w:val="21"/>
              </w:rPr>
            </w:pPr>
            <w:sdt>
              <w:sdtPr>
                <w:rPr>
                  <w:rFonts w:hint="eastAsia"/>
                  <w:sz w:val="21"/>
                </w:rPr>
                <w:id w:val="-156185891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67240397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4961"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114365335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106109823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145556428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ind w:left="-2" w:leftChars="-1" w:firstLine="6" w:firstLineChars="3"/>
              <w:rPr>
                <w:rFonts w:hint="default"/>
                <w:sz w:val="18"/>
              </w:rPr>
            </w:pPr>
            <w:sdt>
              <w:sdtPr>
                <w:rPr>
                  <w:rFonts w:hint="default"/>
                  <w:sz w:val="21"/>
                </w:rPr>
                <w:id w:val="-66169284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r>
              <w:rPr>
                <w:rFonts w:hint="eastAsia"/>
                <w:sz w:val="18"/>
              </w:rPr>
              <mc:AlternateContent>
                <mc:Choice Requires="wps">
                  <w:drawing>
                    <wp:anchor distT="0" distB="0" distL="114300" distR="114300" simplePos="0" relativeHeight="9" behindDoc="0" locked="0" layoutInCell="1" hidden="0" allowOverlap="1">
                      <wp:simplePos x="0" y="0"/>
                      <wp:positionH relativeFrom="column">
                        <wp:posOffset>151130</wp:posOffset>
                      </wp:positionH>
                      <wp:positionV relativeFrom="paragraph">
                        <wp:posOffset>217170</wp:posOffset>
                      </wp:positionV>
                      <wp:extent cx="2733675" cy="171450"/>
                      <wp:effectExtent l="635" t="635" r="29845" b="10795"/>
                      <wp:wrapNone/>
                      <wp:docPr id="1031" name="AutoShape 100"/>
                      <a:graphic xmlns:a="http://schemas.openxmlformats.org/drawingml/2006/main">
                        <a:graphicData uri="http://schemas.microsoft.com/office/word/2010/wordprocessingShape">
                          <wps:wsp>
                            <wps:cNvPr id="1031"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9;mso-wrap-distance-left:9pt;width:215.25pt;height:13.5pt;mso-position-horizontal-relative:text;position:absolute;margin-left:11.9pt;margin-top:17.100000000000001pt;mso-wrap-distance-bottom:0pt;mso-wrap-distance-right:9pt;mso-wrap-distance-top:0pt;" o:spid="_x0000_s1031"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p>
        </w:tc>
      </w:tr>
    </w:tbl>
    <w:p>
      <w:pPr>
        <w:pStyle w:val="0"/>
        <w:snapToGrid w:val="0"/>
        <w:ind w:left="378" w:leftChars="236"/>
        <w:rPr>
          <w:rFonts w:hint="default"/>
          <w:sz w:val="18"/>
        </w:rPr>
      </w:pPr>
      <w:r>
        <w:rPr>
          <w:rFonts w:hint="eastAsia"/>
          <w:sz w:val="18"/>
        </w:rPr>
        <w:t>＊　□については、該当するものにレ点を付ける等して分かるよう記載すること。</w:t>
      </w:r>
    </w:p>
    <w:p>
      <w:pPr>
        <w:pStyle w:val="0"/>
        <w:widowControl w:val="1"/>
        <w:jc w:val="left"/>
        <w:rPr>
          <w:rFonts w:hint="default"/>
        </w:rPr>
      </w:pPr>
      <w:r>
        <w:rPr>
          <w:rFonts w:hint="default"/>
        </w:rPr>
        <w:br w:type="page"/>
      </w:r>
    </w:p>
    <w:p>
      <w:pPr>
        <w:pStyle w:val="0"/>
        <w:rPr>
          <w:rFonts w:hint="default"/>
        </w:rPr>
      </w:pPr>
      <w:r>
        <w:rPr>
          <w:rFonts w:hint="eastAsia"/>
          <w:sz w:val="24"/>
        </w:rPr>
        <w:t>【図面】　　　　　　　　　　　　　　　　　　　　　　　　　　　作成日　年　月　日</w:t>
      </w:r>
    </w:p>
    <w:tbl>
      <w:tblPr>
        <w:tblStyle w:val="11"/>
        <w:tblW w:w="100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92"/>
      </w:tblGrid>
      <w:tr>
        <w:trPr>
          <w:cantSplit/>
          <w:trHeight w:val="14810" w:hRule="atLeast"/>
        </w:trPr>
        <w:tc>
          <w:tcPr>
            <w:tcW w:w="100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tc>
      </w:tr>
    </w:tbl>
    <w:p>
      <w:pPr>
        <w:pStyle w:val="0"/>
        <w:ind w:firstLine="180" w:firstLineChars="100"/>
        <w:rPr>
          <w:rFonts w:hint="default"/>
          <w:sz w:val="18"/>
        </w:rPr>
      </w:pPr>
    </w:p>
    <w:sectPr>
      <w:footerReference r:id="rId5" w:type="first"/>
      <w:pgSz w:w="11905" w:h="16837"/>
      <w:pgMar w:top="397" w:right="567" w:bottom="340" w:left="567" w:header="142" w:footer="57"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readOnly" w:enforcement="0"/>
  <w:defaultTabStop w:val="840"/>
  <w:drawingGridHorizontalSpacing w:val="80"/>
  <w:drawingGridVerticalSpacing w:val="16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16"/>
    </w:rPr>
  </w:style>
  <w:style w:type="paragraph" w:styleId="1">
    <w:name w:val="heading 1"/>
    <w:basedOn w:val="0"/>
    <w:next w:val="0"/>
    <w:link w:val="15"/>
    <w:uiPriority w:val="0"/>
    <w:qFormat/>
    <w:pPr>
      <w:keepNext w:val="1"/>
      <w:outlineLvl w:val="0"/>
    </w:pPr>
    <w:rPr>
      <w:rFonts w:ascii="Arial" w:hAnsi="Arial" w:eastAsia="ＭＳ ゴシック"/>
      <w:sz w:val="21"/>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1"/>
    </w:rPr>
  </w:style>
  <w:style w:type="paragraph" w:styleId="16" w:customStyle="1">
    <w:name w:val="一太郎８/９"/>
    <w:next w:val="16"/>
    <w:link w:val="0"/>
    <w:uiPriority w:val="0"/>
    <w:pPr>
      <w:widowControl w:val="0"/>
      <w:wordWrap w:val="0"/>
      <w:autoSpaceDE w:val="0"/>
      <w:autoSpaceDN w:val="0"/>
      <w:adjustRightInd w:val="0"/>
      <w:spacing w:line="354" w:lineRule="atLeast"/>
      <w:jc w:val="both"/>
    </w:pPr>
    <w:rPr>
      <w:rFonts w:ascii="ＭＳ 明朝" w:hAnsi="ＭＳ 明朝"/>
      <w:spacing w:val="6"/>
    </w:rPr>
  </w:style>
  <w:style w:type="character" w:styleId="17">
    <w:name w:val="Hyperlink"/>
    <w:next w:val="17"/>
    <w:link w:val="0"/>
    <w:uiPriority w:val="0"/>
    <w:rPr>
      <w:color w:val="0000FF"/>
      <w:u w:val="single" w:color="auto"/>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44"/>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FollowedHyperlink"/>
    <w:next w:val="21"/>
    <w:link w:val="0"/>
    <w:uiPriority w:val="0"/>
    <w:rPr>
      <w:color w:val="800080"/>
      <w:u w:val="single" w:color="auto"/>
    </w:rPr>
  </w:style>
  <w:style w:type="paragraph" w:styleId="22">
    <w:name w:val="Body Text Indent"/>
    <w:basedOn w:val="0"/>
    <w:next w:val="22"/>
    <w:link w:val="0"/>
    <w:uiPriority w:val="0"/>
    <w:pPr>
      <w:ind w:left="1985" w:hanging="1985" w:hangingChars="898"/>
    </w:pPr>
    <w:rPr>
      <w:color w:val="FF6600"/>
      <w:sz w:val="22"/>
    </w:rPr>
  </w:style>
  <w:style w:type="paragraph" w:styleId="23">
    <w:name w:val="Body Text Indent 2"/>
    <w:basedOn w:val="0"/>
    <w:next w:val="23"/>
    <w:link w:val="0"/>
    <w:uiPriority w:val="0"/>
    <w:pPr>
      <w:ind w:left="2"/>
    </w:pPr>
    <w:rPr>
      <w:rFonts w:ascii="ＭＳ 明朝" w:hAnsi="ＭＳ 明朝"/>
      <w:spacing w:val="3"/>
      <w:kern w:val="0"/>
      <w:sz w:val="20"/>
    </w:rPr>
  </w:style>
  <w:style w:type="paragraph" w:styleId="24">
    <w:name w:val="Body Text Indent 3"/>
    <w:basedOn w:val="0"/>
    <w:next w:val="24"/>
    <w:link w:val="0"/>
    <w:uiPriority w:val="0"/>
    <w:pPr>
      <w:ind w:left="591" w:leftChars="281" w:hanging="1"/>
    </w:pPr>
    <w:rPr>
      <w:rFonts w:ascii="ＭＳ 明朝" w:hAnsi="ＭＳ 明朝"/>
      <w:spacing w:val="3"/>
      <w:kern w:val="0"/>
      <w:sz w:val="20"/>
    </w:rPr>
  </w:style>
  <w:style w:type="character" w:styleId="25" w:customStyle="1">
    <w:name w:val="goohl0"/>
    <w:basedOn w:val="10"/>
    <w:next w:val="25"/>
    <w:link w:val="0"/>
    <w:uiPriority w:val="0"/>
  </w:style>
  <w:style w:type="character" w:styleId="26">
    <w:name w:val="Strong"/>
    <w:next w:val="26"/>
    <w:link w:val="0"/>
    <w:uiPriority w:val="0"/>
    <w:qFormat/>
    <w:rPr>
      <w:rFonts w:ascii="ＭＳ Ｐゴシック" w:hAnsi="ＭＳ Ｐゴシック" w:eastAsia="ＭＳ Ｐゴシック"/>
      <w:b w:val="1"/>
      <w:sz w:val="24"/>
    </w:rPr>
  </w:style>
  <w:style w:type="character" w:styleId="27" w:customStyle="1">
    <w:name w:val="ハイパーリンク1"/>
    <w:next w:val="27"/>
    <w:link w:val="0"/>
    <w:uiPriority w:val="0"/>
    <w:rPr>
      <w:color w:val="0056BF"/>
      <w:u w:val="single" w:color="auto"/>
    </w:rPr>
  </w:style>
  <w:style w:type="paragraph" w:styleId="28" w:customStyle="1">
    <w:name w:val="標準 (Web)11"/>
    <w:basedOn w:val="0"/>
    <w:next w:val="28"/>
    <w:link w:val="0"/>
    <w:uiPriority w:val="0"/>
    <w:pPr>
      <w:widowControl w:val="1"/>
      <w:spacing w:line="336" w:lineRule="atLeast"/>
      <w:jc w:val="left"/>
    </w:pPr>
    <w:rPr>
      <w:rFonts w:ascii="ＭＳ Ｐゴシック" w:hAnsi="ＭＳ Ｐゴシック" w:eastAsia="ＭＳ Ｐゴシック"/>
      <w:kern w:val="0"/>
      <w:sz w:val="25"/>
    </w:rPr>
  </w:style>
  <w:style w:type="character" w:styleId="29">
    <w:name w:val="Emphasis"/>
    <w:next w:val="29"/>
    <w:link w:val="0"/>
    <w:uiPriority w:val="0"/>
    <w:qFormat/>
    <w:rPr>
      <w:rFonts w:ascii="ＭＳ Ｐゴシック" w:hAnsi="ＭＳ Ｐゴシック" w:eastAsia="ＭＳ Ｐゴシック"/>
      <w:i w:val="1"/>
      <w:color w:val="4F4F4F"/>
      <w:sz w:val="21"/>
    </w:rPr>
  </w:style>
  <w:style w:type="paragraph" w:styleId="30" w:customStyle="1">
    <w:name w:val="見出し 21"/>
    <w:basedOn w:val="0"/>
    <w:next w:val="30"/>
    <w:link w:val="0"/>
    <w:uiPriority w:val="0"/>
    <w:pPr>
      <w:widowControl w:val="1"/>
      <w:pBdr>
        <w:left w:val="single" w:color="E38B32" w:sz="24" w:space="8"/>
      </w:pBdr>
      <w:spacing w:after="150" w:afterLines="0" w:afterAutospacing="0" w:line="336" w:lineRule="atLeast"/>
      <w:jc w:val="left"/>
      <w:outlineLvl w:val="2"/>
    </w:pPr>
    <w:rPr>
      <w:rFonts w:ascii="ＭＳ Ｐゴシック" w:hAnsi="ＭＳ Ｐゴシック" w:eastAsia="ＭＳ Ｐゴシック"/>
      <w:b w:val="1"/>
      <w:kern w:val="0"/>
      <w:sz w:val="24"/>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2" w:customStyle="1">
    <w:name w:val="photo3"/>
    <w:basedOn w:val="0"/>
    <w:next w:val="32"/>
    <w:link w:val="0"/>
    <w:uiPriority w:val="0"/>
    <w:pPr>
      <w:widowControl w:val="1"/>
      <w:spacing w:line="336" w:lineRule="atLeast"/>
      <w:jc w:val="center"/>
    </w:pPr>
    <w:rPr>
      <w:rFonts w:ascii="ＭＳ Ｐゴシック" w:hAnsi="ＭＳ Ｐゴシック" w:eastAsia="ＭＳ Ｐゴシック"/>
      <w:kern w:val="0"/>
      <w:sz w:val="25"/>
    </w:rPr>
  </w:style>
  <w:style w:type="paragraph" w:styleId="33" w:customStyle="1">
    <w:name w:val="スタイル2"/>
    <w:basedOn w:val="0"/>
    <w:next w:val="33"/>
    <w:link w:val="0"/>
    <w:uiPriority w:val="0"/>
    <w:rPr>
      <w:rFonts w:eastAsia="ＭＳ ゴシック"/>
      <w:sz w:val="24"/>
      <w:shd w:val="pct15" w:color="auto" w:fill="FFFFFF"/>
    </w:rPr>
  </w:style>
  <w:style w:type="paragraph" w:styleId="34" w:customStyle="1">
    <w:name w:val="スタイル3"/>
    <w:basedOn w:val="0"/>
    <w:next w:val="34"/>
    <w:link w:val="0"/>
    <w:uiPriority w:val="0"/>
    <w:rPr>
      <w:rFonts w:eastAsia="ＭＳ ゴシック"/>
      <w:sz w:val="24"/>
    </w:rPr>
  </w:style>
  <w:style w:type="paragraph" w:styleId="35">
    <w:name w:val="Block Text"/>
    <w:basedOn w:val="0"/>
    <w:next w:val="35"/>
    <w:link w:val="0"/>
    <w:uiPriority w:val="0"/>
    <w:pPr>
      <w:ind w:left="113" w:right="113"/>
    </w:pPr>
  </w:style>
  <w:style w:type="paragraph" w:styleId="36">
    <w:name w:val="Body Text"/>
    <w:basedOn w:val="0"/>
    <w:next w:val="36"/>
    <w:link w:val="0"/>
    <w:uiPriority w:val="0"/>
  </w:style>
  <w:style w:type="character" w:styleId="37" w:customStyle="1">
    <w:name w:val="ハイパーリンク2"/>
    <w:next w:val="37"/>
    <w:link w:val="0"/>
    <w:uiPriority w:val="0"/>
    <w:rPr>
      <w:color w:val="0056BF"/>
      <w:u w:val="single" w:color="auto"/>
    </w:rPr>
  </w:style>
  <w:style w:type="character" w:styleId="38" w:customStyle="1">
    <w:name w:val="r041da3c3b1"/>
    <w:basedOn w:val="10"/>
    <w:next w:val="38"/>
    <w:link w:val="0"/>
    <w:uiPriority w:val="0"/>
  </w:style>
  <w:style w:type="paragraph" w:styleId="39">
    <w:name w:val="Date"/>
    <w:basedOn w:val="0"/>
    <w:next w:val="0"/>
    <w:link w:val="0"/>
    <w:uiPriority w:val="0"/>
    <w:rPr>
      <w:kern w:val="0"/>
      <w:sz w:val="22"/>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customStyle="1">
    <w:name w:val="一太郎"/>
    <w:next w:val="41"/>
    <w:link w:val="0"/>
    <w:uiPriority w:val="0"/>
    <w:pPr>
      <w:widowControl w:val="0"/>
      <w:wordWrap w:val="0"/>
      <w:autoSpaceDE w:val="0"/>
      <w:autoSpaceDN w:val="0"/>
      <w:adjustRightInd w:val="0"/>
      <w:spacing w:line="393" w:lineRule="exact"/>
      <w:jc w:val="both"/>
    </w:pPr>
    <w:rPr>
      <w:spacing w:val="-1"/>
      <w:sz w:val="24"/>
    </w:rPr>
  </w:style>
  <w:style w:type="paragraph" w:styleId="42">
    <w:name w:val="Balloon Text"/>
    <w:basedOn w:val="0"/>
    <w:next w:val="42"/>
    <w:link w:val="43"/>
    <w:uiPriority w:val="0"/>
    <w:semiHidden/>
    <w:rPr>
      <w:rFonts w:ascii="Arial" w:hAnsi="Arial" w:eastAsia="ＭＳ ゴシック"/>
      <w:sz w:val="18"/>
    </w:rPr>
  </w:style>
  <w:style w:type="character" w:styleId="43" w:customStyle="1">
    <w:name w:val="吹き出し (文字)"/>
    <w:next w:val="43"/>
    <w:link w:val="42"/>
    <w:uiPriority w:val="0"/>
    <w:rPr>
      <w:rFonts w:ascii="Arial" w:hAnsi="Arial" w:eastAsia="ＭＳ ゴシック"/>
      <w:kern w:val="2"/>
      <w:sz w:val="18"/>
    </w:rPr>
  </w:style>
  <w:style w:type="character" w:styleId="44" w:customStyle="1">
    <w:name w:val="フッター (文字)"/>
    <w:next w:val="44"/>
    <w:link w:val="19"/>
    <w:uiPriority w:val="0"/>
    <w:rPr>
      <w:kern w:val="2"/>
      <w:sz w:val="16"/>
    </w:rPr>
  </w:style>
  <w:style w:type="character" w:styleId="45">
    <w:name w:val="annotation reference"/>
    <w:next w:val="45"/>
    <w:link w:val="0"/>
    <w:uiPriority w:val="0"/>
    <w:semiHidden/>
    <w:rPr>
      <w:sz w:val="18"/>
    </w:rPr>
  </w:style>
  <w:style w:type="paragraph" w:styleId="46">
    <w:name w:val="annotation text"/>
    <w:basedOn w:val="0"/>
    <w:next w:val="46"/>
    <w:link w:val="47"/>
    <w:uiPriority w:val="0"/>
    <w:semiHidden/>
    <w:pPr>
      <w:jc w:val="left"/>
    </w:pPr>
  </w:style>
  <w:style w:type="character" w:styleId="47" w:customStyle="1">
    <w:name w:val="コメント文字列 (文字)"/>
    <w:next w:val="47"/>
    <w:link w:val="46"/>
    <w:uiPriority w:val="0"/>
    <w:rPr>
      <w:kern w:val="2"/>
      <w:sz w:val="16"/>
    </w:rPr>
  </w:style>
  <w:style w:type="paragraph" w:styleId="48">
    <w:name w:val="annotation subject"/>
    <w:basedOn w:val="46"/>
    <w:next w:val="46"/>
    <w:link w:val="49"/>
    <w:uiPriority w:val="0"/>
    <w:semiHidden/>
    <w:rPr>
      <w:b w:val="1"/>
    </w:rPr>
  </w:style>
  <w:style w:type="character" w:styleId="49" w:customStyle="1">
    <w:name w:val="コメント内容 (文字)"/>
    <w:next w:val="49"/>
    <w:link w:val="48"/>
    <w:uiPriority w:val="0"/>
    <w:rPr>
      <w:b w:val="1"/>
      <w:kern w:val="2"/>
      <w:sz w:val="16"/>
    </w:rPr>
  </w:style>
  <w:style w:type="paragraph" w:styleId="50">
    <w:name w:val="Revision"/>
    <w:next w:val="50"/>
    <w:link w:val="0"/>
    <w:uiPriority w:val="0"/>
    <w:rPr>
      <w:kern w:val="2"/>
      <w:sz w:val="16"/>
    </w:rPr>
  </w:style>
  <w:style w:type="paragraph" w:styleId="51" w:customStyle="1">
    <w:name w:val="title-irregular4"/>
    <w:basedOn w:val="0"/>
    <w:next w:val="51"/>
    <w:link w:val="0"/>
    <w:uiPriority w:val="0"/>
    <w:pPr>
      <w:widowControl w:val="1"/>
      <w:ind w:left="960" w:hanging="240"/>
      <w:jc w:val="left"/>
    </w:pPr>
    <w:rPr>
      <w:rFonts w:ascii="ＭＳ Ｐゴシック" w:hAnsi="ＭＳ Ｐゴシック" w:eastAsia="ＭＳ Ｐゴシック"/>
      <w:kern w:val="0"/>
      <w:sz w:val="24"/>
    </w:rPr>
  </w:style>
  <w:style w:type="paragraph" w:styleId="52">
    <w:name w:val="List Paragraph"/>
    <w:basedOn w:val="0"/>
    <w:next w:val="52"/>
    <w:link w:val="0"/>
    <w:uiPriority w:val="0"/>
    <w:qFormat/>
    <w:pPr>
      <w:ind w:left="840" w:leftChars="400"/>
    </w:p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3</Words>
  <Characters>1149</Characters>
  <Application>JUST Note</Application>
  <Lines>183</Lines>
  <Paragraphs>71</Paragraphs>
  <CharactersWithSpaces>1307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2026-04-27T10:32:00Z</dcterms:created>
  <dcterms:modified xsi:type="dcterms:W3CDTF">2026-04-27T10:32:10Z</dcterms:modified>
  <cp:revision>1</cp:revision>
</cp:coreProperties>
</file>